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293731"/>
          <w:spacing w:val="40"/>
          <w:sz w:val="16"/>
          <w:szCs w:val="16"/>
        </w:rPr>
        <w:t xml:space="preserve">BOUDDI · THE FRAMING PROCESS · STAGE 02</w:t>
      </w:r>
    </w:p>
    <w:p>
      <w:pPr>
        <w:spacing w:after="120" w:before="0"/>
      </w:pPr>
      <w:r>
        <w:rPr>
          <w:rFonts w:ascii="Georgia" w:cs="Georgia" w:eastAsia="Georgia" w:hAnsi="Georgia"/>
          <w:color w:val="293731"/>
          <w:sz w:val="44"/>
          <w:szCs w:val="44"/>
        </w:rPr>
        <w:t xml:space="preserve">The Bouddi Fit-and-Risk Matrix</w:t>
      </w:r>
    </w:p>
    <w:p>
      <w:pPr>
        <w:spacing w:after="240" w:line="320"/>
      </w:pPr>
      <w:r>
        <w:rPr>
          <w:rFonts w:ascii="Arial" w:cs="Arial" w:eastAsia="Arial" w:hAnsi="Arial"/>
          <w:color w:val="3A3A3A"/>
          <w:sz w:val="18"/>
          <w:szCs w:val="18"/>
        </w:rPr>
        <w:t xml:space="preserve">Place each candidate AI process from your AI Footprint into one of four quadrants. The verb in each quadrant tells you the governance treatment.</w:t>
      </w:r>
    </w:p>
    <w:tbl>
      <w:tblPr>
        <w:tblW w:type="dxa" w:w="1395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779"/>
        <w:gridCol w:w="5779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577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80"/>
              <w:bottom w:type="dxa" w:w="200"/>
              <w:right w:type="dxa" w:w="8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293731"/>
                <w:spacing w:val="40"/>
                <w:sz w:val="18"/>
                <w:szCs w:val="18"/>
              </w:rPr>
              <w:t xml:space="preserve">← LOW GOVERNANCE BURDEN</w:t>
            </w:r>
          </w:p>
        </w:tc>
        <w:tc>
          <w:tcPr>
            <w:tcW w:type="dxa" w:w="577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80"/>
              <w:bottom w:type="dxa" w:w="200"/>
              <w:right w:type="dxa" w:w="8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293731"/>
                <w:spacing w:val="40"/>
                <w:sz w:val="18"/>
                <w:szCs w:val="18"/>
              </w:rPr>
              <w:t xml:space="preserve">HIGH GOVERNANCE BURDEN →</w:t>
            </w:r>
          </w:p>
        </w:tc>
      </w:tr>
      <w:tr>
        <w:trPr>
          <w:cantSplit/>
        </w:trP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Georgia" w:cs="Georgia" w:eastAsia="Georgia" w:hAnsi="Georgia"/>
                <w:color w:val="293731"/>
                <w:spacing w:val="40"/>
                <w:sz w:val="18"/>
                <w:szCs w:val="18"/>
              </w:rPr>
              <w:t xml:space="preserve">↑ HIGH AI SUITABILITY</w:t>
            </w:r>
          </w:p>
        </w:tc>
        <w:tc>
          <w:tcPr>
            <w:tcW w:type="dxa" w:w="5779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color w:val="293731"/>
                <w:sz w:val="36"/>
                <w:szCs w:val="36"/>
              </w:rPr>
              <w:t xml:space="preserve">Automate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WORKED EXAMPLE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color w:val="1A1A1A"/>
                <w:sz w:val="17"/>
                <w:szCs w:val="17"/>
              </w:rPr>
              <w:t xml:space="preserve">Spam and phishing detection in corporate email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YOUR PROCESSES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5779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color w:val="293731"/>
                <w:sz w:val="36"/>
                <w:szCs w:val="36"/>
              </w:rPr>
              <w:t xml:space="preserve">Augment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WORKED EXAMPLE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color w:val="1A1A1A"/>
                <w:sz w:val="17"/>
                <w:szCs w:val="17"/>
              </w:rPr>
              <w:t xml:space="preserve">Insurance claims triage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YOUR PROCESSES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Georgia" w:cs="Georgia" w:eastAsia="Georgia" w:hAnsi="Georgia"/>
                <w:color w:val="293731"/>
                <w:spacing w:val="40"/>
                <w:sz w:val="18"/>
                <w:szCs w:val="18"/>
              </w:rPr>
              <w:t xml:space="preserve">↓ LOW AI SUITABILITY</w:t>
            </w:r>
          </w:p>
        </w:tc>
        <w:tc>
          <w:tcPr>
            <w:tcW w:type="dxa" w:w="5779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color w:val="293731"/>
                <w:sz w:val="36"/>
                <w:szCs w:val="36"/>
              </w:rPr>
              <w:t xml:space="preserve">Leave alone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WORKED EXAMPLE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color w:val="1A1A1A"/>
                <w:sz w:val="17"/>
                <w:szCs w:val="17"/>
              </w:rPr>
              <w:t xml:space="preserve">Quarterly board paper drafting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YOUR PROCESSES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5779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EFEDE5" w:val="clear"/>
            <w:tcMar>
              <w:top w:type="dxa" w:w="200"/>
              <w:left w:type="dxa" w:w="240"/>
              <w:bottom w:type="dxa" w:w="20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color w:val="293731"/>
                <w:sz w:val="36"/>
                <w:szCs w:val="36"/>
              </w:rPr>
              <w:t xml:space="preserve">Avoid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WORKED EXAMPLE</w:t>
            </w:r>
          </w:p>
          <w:p>
            <w:pPr>
              <w:spacing w:after="200"/>
            </w:pPr>
            <w:r>
              <w:rPr>
                <w:rFonts w:ascii="Arial" w:cs="Arial" w:eastAsia="Arial" w:hAnsi="Arial"/>
                <w:b/>
                <w:bCs/>
                <w:color w:val="1A1A1A"/>
                <w:sz w:val="17"/>
                <w:szCs w:val="17"/>
              </w:rPr>
              <w:t xml:space="preserve">Algorithmic redundancy or termination decisions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B6B66"/>
                <w:spacing w:val="30"/>
                <w:sz w:val="13"/>
                <w:szCs w:val="13"/>
              </w:rPr>
              <w:t xml:space="preserve">YOUR PROCESSES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A3A3A"/>
                <w:sz w:val="16"/>
                <w:szCs w:val="16"/>
              </w:rPr>
              <w:t xml:space="preserve"> 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293731"/>
          <w:spacing w:val="40"/>
          <w:sz w:val="14"/>
          <w:szCs w:val="14"/>
        </w:rPr>
        <w:t xml:space="preserve">SCORING HELPER</w:t>
      </w:r>
    </w:p>
    <w:p>
      <w:pPr>
        <w:spacing w:after="200"/>
      </w:pPr>
      <w:r>
        <w:rPr>
          <w:rFonts w:ascii="Arial" w:cs="Arial" w:eastAsia="Arial" w:hAnsi="Arial"/>
          <w:color w:val="3A3A3A"/>
          <w:sz w:val="16"/>
          <w:szCs w:val="16"/>
        </w:rPr>
        <w:t xml:space="preserve">Score each process on AI Suitability (1 = poorly suited; 5 = ideal fit) and Governance Burden (1 = light; 5 = high regulatory and customer exposure). Suitability ≥ 3.5 places it in the upper row. Burden ≥ 3.5 places it in the right column. Use this as a sketch — the engaged version, delivered inside the Bouddi Diagnostic, calibrates these scores against your data, your decision design, and your regulatory perimeter.</w:t>
      </w:r>
    </w:p>
    <w:tbl>
      <w:tblPr>
        <w:tblW w:type="dxa" w:w="1395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200"/>
        <w:gridCol w:w="2200"/>
        <w:gridCol w:w="2200"/>
        <w:gridCol w:w="3558"/>
      </w:tblGrid>
      <w:tr>
        <w:trPr>
          <w:tblHeader/>
        </w:trP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293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Process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293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Suitability (1–5)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293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Burden (1–5)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293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Quadrant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293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treatment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AF5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6B66"/>
                <w:sz w:val="16"/>
                <w:szCs w:val="16"/>
              </w:rPr>
              <w:t xml:space="preserve">e.g. Resume screening (vendor pilot)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AF5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6B66"/>
                <w:sz w:val="16"/>
                <w:szCs w:val="16"/>
              </w:rPr>
              <w:t xml:space="preserve">2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AF5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6B66"/>
                <w:sz w:val="16"/>
                <w:szCs w:val="16"/>
              </w:rPr>
              <w:t xml:space="preserve">5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AF5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6B66"/>
                <w:sz w:val="16"/>
                <w:szCs w:val="16"/>
              </w:rPr>
              <w:t xml:space="preserve">Avoid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AF5E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B6B66"/>
                <w:sz w:val="16"/>
                <w:szCs w:val="16"/>
              </w:rPr>
              <w:t xml:space="preserve">Vendor pitch active. AIA required before any production move.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2200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  <w:tc>
          <w:tcPr>
            <w:tcW w:type="dxa" w:w="3558"/>
            <w:tcBorders>
              <w:top w:val="single" w:color="DDD5C4" w:sz="4"/>
              <w:left w:val="single" w:color="DDD5C4" w:sz="4"/>
              <w:bottom w:val="single" w:color="DDD5C4" w:sz="4"/>
              <w:right w:val="single" w:color="DDD5C4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3A3A3A"/>
                <w:sz w:val="16"/>
                <w:szCs w:val="16"/>
              </w:rPr>
              <w:t xml:space="preserve"> </w:t>
            </w:r>
          </w:p>
        </w:tc>
      </w:tr>
    </w:tbl>
    <w:p>
      <w:pPr>
        <w:spacing w:after="0" w:before="280"/>
      </w:pPr>
      <w:r>
        <w:rPr>
          <w:rFonts w:ascii="Arial" w:cs="Arial" w:eastAsia="Arial" w:hAnsi="Arial"/>
          <w:color w:val="6B6B66"/>
          <w:sz w:val="14"/>
          <w:szCs w:val="14"/>
        </w:rPr>
        <w:t xml:space="preserve">© 2026 Bouddi Atelier · Sydney, NSW Australia · ABN 81 303 387 265 · </w:t>
      </w:r>
      <w:r>
        <w:rPr>
          <w:rFonts w:ascii="Arial" w:cs="Arial" w:eastAsia="Arial" w:hAnsi="Arial"/>
          <w:color w:val="6B6B66"/>
          <w:sz w:val="14"/>
          <w:szCs w:val="14"/>
        </w:rPr>
        <w:t xml:space="preserve">michael@bouddiatelier.com.au</w:t>
      </w:r>
      <w:r>
        <w:rPr>
          <w:rFonts w:ascii="Arial" w:cs="Arial" w:eastAsia="Arial" w:hAnsi="Arial"/>
          <w:i/>
          <w:iCs/>
          <w:color w:val="6B6B66"/>
          <w:sz w:val="14"/>
          <w:szCs w:val="14"/>
        </w:rPr>
        <w:t xml:space="preserve">  ·  This is the self-serve register of The Bouddi Framing Process. The engaged register is delivered inside the Bouddi Diagnostic.</w:t>
      </w:r>
    </w:p>
    <w:sectPr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A3A3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Bouddi Fit-and-Risk Matrix</dc:title>
  <dc:creator>Bouddi Atelier</dc:creator>
  <dc:description>Self-serve canvas for placing candidate AI processes against AI Suitability and Governance Burden.</dc:description>
  <cp:lastModifiedBy>Un-named</cp:lastModifiedBy>
  <cp:revision>1</cp:revision>
  <dcterms:created xsi:type="dcterms:W3CDTF">2026-05-09T01:55:02.024Z</dcterms:created>
  <dcterms:modified xsi:type="dcterms:W3CDTF">2026-05-09T01:55:02.024Z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