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293731"/>
          <w:spacing w:val="40"/>
          <w:sz w:val="16"/>
          <w:szCs w:val="16"/>
        </w:rPr>
        <w:t xml:space="preserve">BOUDDI · THE FRAMING PROCESS · STAGE 03</w:t>
      </w:r>
    </w:p>
    <w:p>
      <w:pPr>
        <w:spacing w:after="60" w:before="0"/>
      </w:pPr>
      <w:r>
        <w:rPr>
          <w:rFonts w:ascii="Georgia" w:cs="Georgia" w:eastAsia="Georgia" w:hAnsi="Georgia"/>
          <w:color w:val="293731"/>
          <w:sz w:val="44"/>
          <w:szCs w:val="44"/>
        </w:rPr>
        <w:t xml:space="preserve">The Bouddi Framing Brief</w:t>
      </w:r>
    </w:p>
    <w:p>
      <w:pPr>
        <w:spacing w:after="280"/>
      </w:pPr>
      <w:r>
        <w:rPr>
          <w:rFonts w:ascii="Arial" w:cs="Arial" w:eastAsia="Arial" w:hAnsi="Arial"/>
          <w:i/>
          <w:iCs/>
          <w:color w:val="6B6B66"/>
          <w:sz w:val="18"/>
          <w:szCs w:val="18"/>
        </w:rPr>
        <w:t xml:space="preserve">Board-ready synthesis of your AI framing work — a single page for executive and audit committee consumption.</w:t>
      </w:r>
    </w:p>
    <w:tbl>
      <w:tblPr>
        <w:tblW w:type="dxa" w:w="9080"/>
        <w:tblBorders>
          <w:top w:val="single" w:color="auto" w:sz="4"/>
          <w:left w:val="single" w:color="auto" w:sz="4"/>
          <w:bottom w:val="single" w:color="auto" w:sz="4"/>
          <w:right w:val="single" w:color="auto" w:sz="4"/>
          <w:insideH w:val="single" w:color="auto" w:sz="4"/>
          <w:insideV w:val="single" w:color="auto" w:sz="4"/>
        </w:tblBorders>
      </w:tblPr>
      <w:tblGrid>
        <w:gridCol w:w="4540"/>
        <w:gridCol w:w="4540"/>
      </w:tblGrid>
      <w:tr>
        <w:tc>
          <w:tcPr>
            <w:tcW w:type="dxa" w:w="4540"/>
            <w:tcBorders>
              <w:top w:val="single" w:color="DDD5C4" w:sz="4"/>
              <w:left w:val="single" w:color="DDD5C4" w:sz="4"/>
              <w:bottom w:val="single" w:color="DDD5C4" w:sz="4"/>
              <w:right w:val="single" w:color="DDD5C4" w:sz="4"/>
            </w:tcBorders>
            <w:shd w:fill="FAF5ED" w:val="clear"/>
            <w:tcMar>
              <w:top w:type="dxa" w:w="120"/>
              <w:left w:type="dxa" w:w="200"/>
              <w:bottom w:type="dxa" w:w="120"/>
              <w:right w:type="dxa" w:w="200"/>
            </w:tcMar>
          </w:tcPr>
          <w:p>
            <w:pPr>
              <w:spacing w:after="40"/>
            </w:pPr>
            <w:r>
              <w:rPr>
                <w:rFonts w:ascii="Arial" w:cs="Arial" w:eastAsia="Arial" w:hAnsi="Arial"/>
                <w:b/>
                <w:bCs/>
                <w:color w:val="6B6B66"/>
                <w:spacing w:val="30"/>
                <w:sz w:val="13"/>
                <w:szCs w:val="13"/>
              </w:rPr>
              <w:t xml:space="preserve">ORGANISATION</w:t>
            </w:r>
          </w:p>
          <w:p>
            <w:r>
              <w:rPr>
                <w:rFonts w:ascii="Georgia" w:cs="Georgia" w:eastAsia="Georgia" w:hAnsi="Georgia"/>
                <w:color w:val="1A1A1A"/>
                <w:sz w:val="22"/>
                <w:szCs w:val="22"/>
              </w:rPr>
              <w:t xml:space="preserve">[ Your organisation name ]</w:t>
            </w:r>
          </w:p>
        </w:tc>
        <w:tc>
          <w:tcPr>
            <w:tcW w:type="dxa" w:w="4540"/>
            <w:tcBorders>
              <w:top w:val="single" w:color="DDD5C4" w:sz="4"/>
              <w:left w:val="single" w:color="DDD5C4" w:sz="4"/>
              <w:bottom w:val="single" w:color="DDD5C4" w:sz="4"/>
              <w:right w:val="single" w:color="DDD5C4" w:sz="4"/>
            </w:tcBorders>
            <w:shd w:fill="FAF5ED" w:val="clear"/>
            <w:tcMar>
              <w:top w:type="dxa" w:w="120"/>
              <w:left w:type="dxa" w:w="200"/>
              <w:bottom w:type="dxa" w:w="120"/>
              <w:right w:type="dxa" w:w="200"/>
            </w:tcMar>
          </w:tcPr>
          <w:p>
            <w:pPr>
              <w:spacing w:after="40"/>
            </w:pPr>
            <w:r>
              <w:rPr>
                <w:rFonts w:ascii="Arial" w:cs="Arial" w:eastAsia="Arial" w:hAnsi="Arial"/>
                <w:b/>
                <w:bCs/>
                <w:color w:val="6B6B66"/>
                <w:spacing w:val="30"/>
                <w:sz w:val="13"/>
                <w:szCs w:val="13"/>
              </w:rPr>
              <w:t xml:space="preserve">BRIEF DATE</w:t>
            </w:r>
          </w:p>
          <w:p>
            <w:r>
              <w:rPr>
                <w:rFonts w:ascii="Georgia" w:cs="Georgia" w:eastAsia="Georgia" w:hAnsi="Georgia"/>
                <w:color w:val="1A1A1A"/>
                <w:sz w:val="22"/>
                <w:szCs w:val="22"/>
              </w:rPr>
              <w:t xml:space="preserve">[ DD Month YYYY ]</w:t>
            </w:r>
          </w:p>
        </w:tc>
      </w:tr>
    </w:tbl>
    <w:p>
      <w:pPr>
        <w:pBdr>
          <w:bottom w:val="single" w:color="293731" w:sz="6" w:space="4"/>
        </w:pBdr>
        <w:spacing w:after="120" w:before="280"/>
      </w:pPr>
      <w:r>
        <w:rPr>
          <w:rFonts w:ascii="Georgia" w:cs="Georgia" w:eastAsia="Georgia" w:hAnsi="Georgia"/>
          <w:color w:val="293731"/>
          <w:sz w:val="26"/>
          <w:szCs w:val="26"/>
        </w:rPr>
        <w:t xml:space="preserve">Top three priorities</w:t>
      </w:r>
    </w:p>
    <w:p>
      <w:pPr>
        <w:spacing w:after="120"/>
      </w:pPr>
      <w:r>
        <w:rPr>
          <w:rFonts w:ascii="Arial" w:cs="Arial" w:eastAsia="Arial" w:hAnsi="Arial"/>
          <w:i/>
          <w:iCs/>
          <w:color w:val="6B6B66"/>
          <w:sz w:val="16"/>
          <w:szCs w:val="16"/>
        </w:rPr>
        <w:t xml:space="preserve">The two or three most important moves the organisation should make next. Drawn from your AI Footprint and the placement work in your Fit-and-Risk Matrix. Each priority should have a clear quadrant rationale and a named owner.</w:t>
      </w:r>
    </w:p>
    <w:p>
      <w:pPr>
        <w:spacing w:after="80" w:before="160"/>
      </w:pPr>
      <w:r>
        <w:rPr>
          <w:rFonts w:ascii="Georgia" w:cs="Georgia" w:eastAsia="Georgia" w:hAnsi="Georgia"/>
          <w:b w:val="false"/>
          <w:bCs w:val="false"/>
          <w:color w:val="293731"/>
          <w:sz w:val="22"/>
          <w:szCs w:val="22"/>
        </w:rPr>
        <w:t xml:space="preserve">1.  </w:t>
      </w:r>
      <w:r>
        <w:rPr>
          <w:rFonts w:ascii="Arial" w:cs="Arial" w:eastAsia="Arial" w:hAnsi="Arial"/>
          <w:color w:val="1A1A1A"/>
          <w:sz w:val="18"/>
          <w:szCs w:val="18"/>
        </w:rPr>
        <w:t xml:space="preserve">Priority — what to do, where it lives in the matrix, and why now.</w:t>
      </w:r>
    </w:p>
    <w:p>
      <w:pPr>
        <w:pBdr>
          <w:bottom w:val="single" w:color="DDD5C4" w:sz="4" w:space="8"/>
        </w:pBdr>
        <w:spacing w:after="60" w:before="120" w:line="300"/>
      </w:pPr>
      <w:r>
        <w:rPr>
          <w:rFonts w:ascii="Arial" w:cs="Arial" w:eastAsia="Arial" w:hAnsi="Arial"/>
          <w:sz w:val="16"/>
          <w:szCs w:val="16"/>
        </w:rPr>
        <w:t xml:space="preserve"> </w:t>
      </w:r>
    </w:p>
    <w:p>
      <w:pPr>
        <w:pBdr>
          <w:bottom w:val="single" w:color="DDD5C4" w:sz="4" w:space="8"/>
        </w:pBdr>
        <w:spacing w:after="60" w:before="120" w:line="300"/>
      </w:pPr>
      <w:r>
        <w:rPr>
          <w:rFonts w:ascii="Arial" w:cs="Arial" w:eastAsia="Arial" w:hAnsi="Arial"/>
          <w:sz w:val="16"/>
          <w:szCs w:val="16"/>
        </w:rPr>
        <w:t xml:space="preserve"> </w:t>
      </w:r>
    </w:p>
    <w:p>
      <w:pPr>
        <w:spacing w:after="80" w:before="160"/>
      </w:pPr>
      <w:r>
        <w:rPr>
          <w:rFonts w:ascii="Georgia" w:cs="Georgia" w:eastAsia="Georgia" w:hAnsi="Georgia"/>
          <w:b w:val="false"/>
          <w:bCs w:val="false"/>
          <w:color w:val="293731"/>
          <w:sz w:val="22"/>
          <w:szCs w:val="22"/>
        </w:rPr>
        <w:t xml:space="preserve">2.  </w:t>
      </w:r>
      <w:r>
        <w:rPr>
          <w:rFonts w:ascii="Arial" w:cs="Arial" w:eastAsia="Arial" w:hAnsi="Arial"/>
          <w:color w:val="1A1A1A"/>
          <w:sz w:val="18"/>
          <w:szCs w:val="18"/>
        </w:rPr>
        <w:t xml:space="preserve">Priority — what to do, where it lives in the matrix, and why now.</w:t>
      </w:r>
    </w:p>
    <w:p>
      <w:pPr>
        <w:pBdr>
          <w:bottom w:val="single" w:color="DDD5C4" w:sz="4" w:space="8"/>
        </w:pBdr>
        <w:spacing w:after="60" w:before="120" w:line="300"/>
      </w:pPr>
      <w:r>
        <w:rPr>
          <w:rFonts w:ascii="Arial" w:cs="Arial" w:eastAsia="Arial" w:hAnsi="Arial"/>
          <w:sz w:val="16"/>
          <w:szCs w:val="16"/>
        </w:rPr>
        <w:t xml:space="preserve"> </w:t>
      </w:r>
    </w:p>
    <w:p>
      <w:pPr>
        <w:pBdr>
          <w:bottom w:val="single" w:color="DDD5C4" w:sz="4" w:space="8"/>
        </w:pBdr>
        <w:spacing w:after="60" w:before="120" w:line="300"/>
      </w:pPr>
      <w:r>
        <w:rPr>
          <w:rFonts w:ascii="Arial" w:cs="Arial" w:eastAsia="Arial" w:hAnsi="Arial"/>
          <w:sz w:val="16"/>
          <w:szCs w:val="16"/>
        </w:rPr>
        <w:t xml:space="preserve"> </w:t>
      </w:r>
    </w:p>
    <w:p>
      <w:pPr>
        <w:spacing w:after="80" w:before="160"/>
      </w:pPr>
      <w:r>
        <w:rPr>
          <w:rFonts w:ascii="Georgia" w:cs="Georgia" w:eastAsia="Georgia" w:hAnsi="Georgia"/>
          <w:b w:val="false"/>
          <w:bCs w:val="false"/>
          <w:color w:val="293731"/>
          <w:sz w:val="22"/>
          <w:szCs w:val="22"/>
        </w:rPr>
        <w:t xml:space="preserve">3.  </w:t>
      </w:r>
      <w:r>
        <w:rPr>
          <w:rFonts w:ascii="Arial" w:cs="Arial" w:eastAsia="Arial" w:hAnsi="Arial"/>
          <w:color w:val="1A1A1A"/>
          <w:sz w:val="18"/>
          <w:szCs w:val="18"/>
        </w:rPr>
        <w:t xml:space="preserve">Priority — what to do, where it lives in the matrix, and why now.</w:t>
      </w:r>
    </w:p>
    <w:p>
      <w:pPr>
        <w:pBdr>
          <w:bottom w:val="single" w:color="DDD5C4" w:sz="4" w:space="8"/>
        </w:pBdr>
        <w:spacing w:after="60" w:before="120" w:line="300"/>
      </w:pPr>
      <w:r>
        <w:rPr>
          <w:rFonts w:ascii="Arial" w:cs="Arial" w:eastAsia="Arial" w:hAnsi="Arial"/>
          <w:sz w:val="16"/>
          <w:szCs w:val="16"/>
        </w:rPr>
        <w:t xml:space="preserve"> </w:t>
      </w:r>
    </w:p>
    <w:p>
      <w:pPr>
        <w:pBdr>
          <w:bottom w:val="single" w:color="DDD5C4" w:sz="4" w:space="8"/>
        </w:pBdr>
        <w:spacing w:after="60" w:before="120" w:line="300"/>
      </w:pPr>
      <w:r>
        <w:rPr>
          <w:rFonts w:ascii="Arial" w:cs="Arial" w:eastAsia="Arial" w:hAnsi="Arial"/>
          <w:sz w:val="16"/>
          <w:szCs w:val="16"/>
        </w:rPr>
        <w:t xml:space="preserve"> </w:t>
      </w:r>
    </w:p>
    <w:p>
      <w:pPr>
        <w:pBdr>
          <w:bottom w:val="single" w:color="293731" w:sz="6" w:space="4"/>
        </w:pBdr>
        <w:spacing w:after="120" w:before="280"/>
      </w:pPr>
      <w:r>
        <w:rPr>
          <w:rFonts w:ascii="Georgia" w:cs="Georgia" w:eastAsia="Georgia" w:hAnsi="Georgia"/>
          <w:color w:val="293731"/>
          <w:sz w:val="26"/>
          <w:szCs w:val="26"/>
        </w:rPr>
        <w:t xml:space="preserve">Top three exposures</w:t>
      </w:r>
    </w:p>
    <w:p>
      <w:pPr>
        <w:spacing w:after="120"/>
      </w:pPr>
      <w:r>
        <w:rPr>
          <w:rFonts w:ascii="Arial" w:cs="Arial" w:eastAsia="Arial" w:hAnsi="Arial"/>
          <w:i/>
          <w:iCs/>
          <w:color w:val="6B6B66"/>
          <w:sz w:val="16"/>
          <w:szCs w:val="16"/>
        </w:rPr>
        <w:t xml:space="preserve">Where the organisation is most at risk today. Typically systems sitting in the Avoid quadrant, shadow AI in the Augment quadrant without governance, or production AI without inventory or controls. Each exposure needs a short statement of the risk and the immediate compensating control.</w:t>
      </w:r>
    </w:p>
    <w:p>
      <w:pPr>
        <w:spacing w:after="80" w:before="160"/>
      </w:pPr>
      <w:r>
        <w:rPr>
          <w:rFonts w:ascii="Georgia" w:cs="Georgia" w:eastAsia="Georgia" w:hAnsi="Georgia"/>
          <w:b w:val="false"/>
          <w:bCs w:val="false"/>
          <w:color w:val="293731"/>
          <w:sz w:val="22"/>
          <w:szCs w:val="22"/>
        </w:rPr>
        <w:t xml:space="preserve">1.  </w:t>
      </w:r>
      <w:r>
        <w:rPr>
          <w:rFonts w:ascii="Arial" w:cs="Arial" w:eastAsia="Arial" w:hAnsi="Arial"/>
          <w:color w:val="1A1A1A"/>
          <w:sz w:val="18"/>
          <w:szCs w:val="18"/>
        </w:rPr>
        <w:t xml:space="preserve">Exposure — system, risk, and compensating control.</w:t>
      </w:r>
    </w:p>
    <w:p>
      <w:pPr>
        <w:pBdr>
          <w:bottom w:val="single" w:color="DDD5C4" w:sz="4" w:space="8"/>
        </w:pBdr>
        <w:spacing w:after="60" w:before="120" w:line="300"/>
      </w:pPr>
      <w:r>
        <w:rPr>
          <w:rFonts w:ascii="Arial" w:cs="Arial" w:eastAsia="Arial" w:hAnsi="Arial"/>
          <w:sz w:val="16"/>
          <w:szCs w:val="16"/>
        </w:rPr>
        <w:t xml:space="preserve"> </w:t>
      </w:r>
    </w:p>
    <w:p>
      <w:pPr>
        <w:pBdr>
          <w:bottom w:val="single" w:color="DDD5C4" w:sz="4" w:space="8"/>
        </w:pBdr>
        <w:spacing w:after="60" w:before="120" w:line="300"/>
      </w:pPr>
      <w:r>
        <w:rPr>
          <w:rFonts w:ascii="Arial" w:cs="Arial" w:eastAsia="Arial" w:hAnsi="Arial"/>
          <w:sz w:val="16"/>
          <w:szCs w:val="16"/>
        </w:rPr>
        <w:t xml:space="preserve"> </w:t>
      </w:r>
    </w:p>
    <w:p>
      <w:pPr>
        <w:spacing w:after="80" w:before="160"/>
      </w:pPr>
      <w:r>
        <w:rPr>
          <w:rFonts w:ascii="Georgia" w:cs="Georgia" w:eastAsia="Georgia" w:hAnsi="Georgia"/>
          <w:b w:val="false"/>
          <w:bCs w:val="false"/>
          <w:color w:val="293731"/>
          <w:sz w:val="22"/>
          <w:szCs w:val="22"/>
        </w:rPr>
        <w:t xml:space="preserve">2.  </w:t>
      </w:r>
      <w:r>
        <w:rPr>
          <w:rFonts w:ascii="Arial" w:cs="Arial" w:eastAsia="Arial" w:hAnsi="Arial"/>
          <w:color w:val="1A1A1A"/>
          <w:sz w:val="18"/>
          <w:szCs w:val="18"/>
        </w:rPr>
        <w:t xml:space="preserve">Exposure — system, risk, and compensating control.</w:t>
      </w:r>
    </w:p>
    <w:p>
      <w:pPr>
        <w:pBdr>
          <w:bottom w:val="single" w:color="DDD5C4" w:sz="4" w:space="8"/>
        </w:pBdr>
        <w:spacing w:after="60" w:before="120" w:line="300"/>
      </w:pPr>
      <w:r>
        <w:rPr>
          <w:rFonts w:ascii="Arial" w:cs="Arial" w:eastAsia="Arial" w:hAnsi="Arial"/>
          <w:sz w:val="16"/>
          <w:szCs w:val="16"/>
        </w:rPr>
        <w:t xml:space="preserve"> </w:t>
      </w:r>
    </w:p>
    <w:p>
      <w:pPr>
        <w:pBdr>
          <w:bottom w:val="single" w:color="DDD5C4" w:sz="4" w:space="8"/>
        </w:pBdr>
        <w:spacing w:after="60" w:before="120" w:line="300"/>
      </w:pPr>
      <w:r>
        <w:rPr>
          <w:rFonts w:ascii="Arial" w:cs="Arial" w:eastAsia="Arial" w:hAnsi="Arial"/>
          <w:sz w:val="16"/>
          <w:szCs w:val="16"/>
        </w:rPr>
        <w:t xml:space="preserve"> </w:t>
      </w:r>
    </w:p>
    <w:p>
      <w:pPr>
        <w:spacing w:after="80" w:before="160"/>
      </w:pPr>
      <w:r>
        <w:rPr>
          <w:rFonts w:ascii="Georgia" w:cs="Georgia" w:eastAsia="Georgia" w:hAnsi="Georgia"/>
          <w:b w:val="false"/>
          <w:bCs w:val="false"/>
          <w:color w:val="293731"/>
          <w:sz w:val="22"/>
          <w:szCs w:val="22"/>
        </w:rPr>
        <w:t xml:space="preserve">3.  </w:t>
      </w:r>
      <w:r>
        <w:rPr>
          <w:rFonts w:ascii="Arial" w:cs="Arial" w:eastAsia="Arial" w:hAnsi="Arial"/>
          <w:color w:val="1A1A1A"/>
          <w:sz w:val="18"/>
          <w:szCs w:val="18"/>
        </w:rPr>
        <w:t xml:space="preserve">Exposure — system, risk, and compensating control.</w:t>
      </w:r>
    </w:p>
    <w:p>
      <w:pPr>
        <w:pBdr>
          <w:bottom w:val="single" w:color="DDD5C4" w:sz="4" w:space="8"/>
        </w:pBdr>
        <w:spacing w:after="60" w:before="120" w:line="300"/>
      </w:pPr>
      <w:r>
        <w:rPr>
          <w:rFonts w:ascii="Arial" w:cs="Arial" w:eastAsia="Arial" w:hAnsi="Arial"/>
          <w:sz w:val="16"/>
          <w:szCs w:val="16"/>
        </w:rPr>
        <w:t xml:space="preserve"> </w:t>
      </w:r>
    </w:p>
    <w:p>
      <w:pPr>
        <w:pBdr>
          <w:bottom w:val="single" w:color="DDD5C4" w:sz="4" w:space="8"/>
        </w:pBdr>
        <w:spacing w:after="60" w:before="120" w:line="300"/>
      </w:pPr>
      <w:r>
        <w:rPr>
          <w:rFonts w:ascii="Arial" w:cs="Arial" w:eastAsia="Arial" w:hAnsi="Arial"/>
          <w:sz w:val="16"/>
          <w:szCs w:val="16"/>
        </w:rPr>
        <w:t xml:space="preserve"> </w:t>
      </w:r>
    </w:p>
    <w:p>
      <w:pPr>
        <w:pBdr>
          <w:bottom w:val="single" w:color="293731" w:sz="6" w:space="4"/>
        </w:pBdr>
        <w:spacing w:after="120" w:before="280"/>
      </w:pPr>
      <w:r>
        <w:rPr>
          <w:rFonts w:ascii="Georgia" w:cs="Georgia" w:eastAsia="Georgia" w:hAnsi="Georgia"/>
          <w:color w:val="293731"/>
          <w:sz w:val="26"/>
          <w:szCs w:val="26"/>
        </w:rPr>
        <w:t xml:space="preserve">Strategic value tie-breaker</w:t>
      </w:r>
    </w:p>
    <w:p>
      <w:pPr>
        <w:spacing w:after="120"/>
      </w:pPr>
      <w:r>
        <w:rPr>
          <w:rFonts w:ascii="Arial" w:cs="Arial" w:eastAsia="Arial" w:hAnsi="Arial"/>
          <w:i/>
          <w:iCs/>
          <w:color w:val="6B6B66"/>
          <w:sz w:val="16"/>
          <w:szCs w:val="16"/>
        </w:rPr>
        <w:t xml:space="preserve">When two priorities sit in the same quadrant with similar risk, strategic value decides sequencing. Capture in 2–3 sentences: which priority moves first, and why does it matter most to the business right now.</w:t>
      </w:r>
    </w:p>
    <w:p>
      <w:pPr>
        <w:pBdr>
          <w:bottom w:val="single" w:color="DDD5C4" w:sz="4" w:space="8"/>
        </w:pBdr>
        <w:spacing w:after="60" w:before="120" w:line="300"/>
      </w:pPr>
      <w:r>
        <w:rPr>
          <w:rFonts w:ascii="Arial" w:cs="Arial" w:eastAsia="Arial" w:hAnsi="Arial"/>
          <w:sz w:val="16"/>
          <w:szCs w:val="16"/>
        </w:rPr>
        <w:t xml:space="preserve"> </w:t>
      </w:r>
    </w:p>
    <w:p>
      <w:pPr>
        <w:pBdr>
          <w:bottom w:val="single" w:color="DDD5C4" w:sz="4" w:space="8"/>
        </w:pBdr>
        <w:spacing w:after="60" w:before="120" w:line="300"/>
      </w:pPr>
      <w:r>
        <w:rPr>
          <w:rFonts w:ascii="Arial" w:cs="Arial" w:eastAsia="Arial" w:hAnsi="Arial"/>
          <w:sz w:val="16"/>
          <w:szCs w:val="16"/>
        </w:rPr>
        <w:t xml:space="preserve"> </w:t>
      </w:r>
    </w:p>
    <w:p>
      <w:pPr>
        <w:pBdr>
          <w:bottom w:val="single" w:color="DDD5C4" w:sz="4" w:space="8"/>
        </w:pBdr>
        <w:spacing w:after="60" w:before="120" w:line="300"/>
      </w:pPr>
      <w:r>
        <w:rPr>
          <w:rFonts w:ascii="Arial" w:cs="Arial" w:eastAsia="Arial" w:hAnsi="Arial"/>
          <w:sz w:val="16"/>
          <w:szCs w:val="16"/>
        </w:rPr>
        <w:t xml:space="preserve"> </w:t>
      </w:r>
    </w:p>
    <w:p>
      <w:pPr>
        <w:pBdr>
          <w:bottom w:val="single" w:color="293731" w:sz="6" w:space="4"/>
        </w:pBdr>
        <w:spacing w:after="120" w:before="280"/>
      </w:pPr>
      <w:r>
        <w:rPr>
          <w:rFonts w:ascii="Georgia" w:cs="Georgia" w:eastAsia="Georgia" w:hAnsi="Georgia"/>
          <w:color w:val="293731"/>
          <w:sz w:val="26"/>
          <w:szCs w:val="26"/>
        </w:rPr>
        <w:t xml:space="preserve">Recommended next moves</w:t>
      </w:r>
    </w:p>
    <w:p>
      <w:pPr>
        <w:spacing w:after="120"/>
      </w:pPr>
      <w:r>
        <w:rPr>
          <w:rFonts w:ascii="Arial" w:cs="Arial" w:eastAsia="Arial" w:hAnsi="Arial"/>
          <w:i/>
          <w:iCs/>
          <w:color w:val="6B6B66"/>
          <w:sz w:val="16"/>
          <w:szCs w:val="16"/>
        </w:rPr>
        <w:t xml:space="preserve">The two or three concrete actions the executive committee should approve in the next 30–60 days. These should follow directly from priorities and exposures above. Examples: commission a Bouddi Diagnostic; pause the vendor-recommended HR pilot pending an algorithmic impact assessment; stand up an AI intake process.</w:t>
      </w:r>
    </w:p>
    <w:p>
      <w:pPr>
        <w:spacing w:after="80" w:before="160"/>
      </w:pPr>
      <w:r>
        <w:rPr>
          <w:rFonts w:ascii="Georgia" w:cs="Georgia" w:eastAsia="Georgia" w:hAnsi="Georgia"/>
          <w:b w:val="false"/>
          <w:bCs w:val="false"/>
          <w:color w:val="293731"/>
          <w:sz w:val="22"/>
          <w:szCs w:val="22"/>
        </w:rPr>
        <w:t xml:space="preserve">1.  </w:t>
      </w:r>
      <w:r>
        <w:rPr>
          <w:rFonts w:ascii="Arial" w:cs="Arial" w:eastAsia="Arial" w:hAnsi="Arial"/>
          <w:color w:val="1A1A1A"/>
          <w:sz w:val="18"/>
          <w:szCs w:val="18"/>
        </w:rPr>
        <w:t xml:space="preserve">Move — what to do, by when, by whom.</w:t>
      </w:r>
    </w:p>
    <w:p>
      <w:pPr>
        <w:pBdr>
          <w:bottom w:val="single" w:color="DDD5C4" w:sz="4" w:space="8"/>
        </w:pBdr>
        <w:spacing w:after="60" w:before="120" w:line="300"/>
      </w:pPr>
      <w:r>
        <w:rPr>
          <w:rFonts w:ascii="Arial" w:cs="Arial" w:eastAsia="Arial" w:hAnsi="Arial"/>
          <w:sz w:val="16"/>
          <w:szCs w:val="16"/>
        </w:rPr>
        <w:t xml:space="preserve"> </w:t>
      </w:r>
    </w:p>
    <w:p>
      <w:pPr>
        <w:spacing w:after="80" w:before="160"/>
      </w:pPr>
      <w:r>
        <w:rPr>
          <w:rFonts w:ascii="Georgia" w:cs="Georgia" w:eastAsia="Georgia" w:hAnsi="Georgia"/>
          <w:b w:val="false"/>
          <w:bCs w:val="false"/>
          <w:color w:val="293731"/>
          <w:sz w:val="22"/>
          <w:szCs w:val="22"/>
        </w:rPr>
        <w:t xml:space="preserve">2.  </w:t>
      </w:r>
      <w:r>
        <w:rPr>
          <w:rFonts w:ascii="Arial" w:cs="Arial" w:eastAsia="Arial" w:hAnsi="Arial"/>
          <w:color w:val="1A1A1A"/>
          <w:sz w:val="18"/>
          <w:szCs w:val="18"/>
        </w:rPr>
        <w:t xml:space="preserve">Move — what to do, by when, by whom.</w:t>
      </w:r>
    </w:p>
    <w:p>
      <w:pPr>
        <w:pBdr>
          <w:bottom w:val="single" w:color="DDD5C4" w:sz="4" w:space="8"/>
        </w:pBdr>
        <w:spacing w:after="60" w:before="120" w:line="300"/>
      </w:pPr>
      <w:r>
        <w:rPr>
          <w:rFonts w:ascii="Arial" w:cs="Arial" w:eastAsia="Arial" w:hAnsi="Arial"/>
          <w:sz w:val="16"/>
          <w:szCs w:val="16"/>
        </w:rPr>
        <w:t xml:space="preserve"> </w:t>
      </w:r>
    </w:p>
    <w:p>
      <w:pPr>
        <w:spacing w:after="80" w:before="160"/>
      </w:pPr>
      <w:r>
        <w:rPr>
          <w:rFonts w:ascii="Georgia" w:cs="Georgia" w:eastAsia="Georgia" w:hAnsi="Georgia"/>
          <w:b w:val="false"/>
          <w:bCs w:val="false"/>
          <w:color w:val="293731"/>
          <w:sz w:val="22"/>
          <w:szCs w:val="22"/>
        </w:rPr>
        <w:t xml:space="preserve">3.  </w:t>
      </w:r>
      <w:r>
        <w:rPr>
          <w:rFonts w:ascii="Arial" w:cs="Arial" w:eastAsia="Arial" w:hAnsi="Arial"/>
          <w:color w:val="1A1A1A"/>
          <w:sz w:val="18"/>
          <w:szCs w:val="18"/>
        </w:rPr>
        <w:t xml:space="preserve">Move — what to do, by when, by whom.</w:t>
      </w:r>
    </w:p>
    <w:p>
      <w:pPr>
        <w:pBdr>
          <w:bottom w:val="single" w:color="DDD5C4" w:sz="4" w:space="8"/>
        </w:pBdr>
        <w:spacing w:after="60" w:before="120" w:line="300"/>
      </w:pPr>
      <w:r>
        <w:rPr>
          <w:rFonts w:ascii="Arial" w:cs="Arial" w:eastAsia="Arial" w:hAnsi="Arial"/>
          <w:sz w:val="16"/>
          <w:szCs w:val="16"/>
        </w:rPr>
        <w:t xml:space="preserve"> </w:t>
      </w:r>
    </w:p>
    <w:p>
      <w:pPr>
        <w:pBdr>
          <w:bottom w:val="single" w:color="293731" w:sz="6" w:space="4"/>
        </w:pBdr>
        <w:spacing w:after="120" w:before="280"/>
      </w:pPr>
      <w:r>
        <w:rPr>
          <w:rFonts w:ascii="Georgia" w:cs="Georgia" w:eastAsia="Georgia" w:hAnsi="Georgia"/>
          <w:color w:val="293731"/>
          <w:sz w:val="26"/>
          <w:szCs w:val="26"/>
        </w:rPr>
        <w:t xml:space="preserve">Open questions for the audit committee</w:t>
      </w:r>
    </w:p>
    <w:p>
      <w:pPr>
        <w:spacing w:after="120"/>
      </w:pPr>
      <w:r>
        <w:rPr>
          <w:rFonts w:ascii="Arial" w:cs="Arial" w:eastAsia="Arial" w:hAnsi="Arial"/>
          <w:i/>
          <w:iCs/>
          <w:color w:val="6B6B66"/>
          <w:sz w:val="16"/>
          <w:szCs w:val="16"/>
        </w:rPr>
        <w:t xml:space="preserve">The questions you don't yet have evidence-grade answers for. These are not weaknesses — they are the scope of the work the Bouddi Diagnostic closes. Capture honestly.</w:t>
      </w:r>
    </w:p>
    <w:p>
      <w:pPr>
        <w:pBdr>
          <w:bottom w:val="single" w:color="DDD5C4" w:sz="4" w:space="8"/>
        </w:pBdr>
        <w:spacing w:after="60" w:before="120" w:line="300"/>
      </w:pPr>
      <w:r>
        <w:rPr>
          <w:rFonts w:ascii="Arial" w:cs="Arial" w:eastAsia="Arial" w:hAnsi="Arial"/>
          <w:sz w:val="16"/>
          <w:szCs w:val="16"/>
        </w:rPr>
        <w:t xml:space="preserve"> </w:t>
      </w:r>
    </w:p>
    <w:p>
      <w:pPr>
        <w:pBdr>
          <w:bottom w:val="single" w:color="DDD5C4" w:sz="4" w:space="8"/>
        </w:pBdr>
        <w:spacing w:after="60" w:before="120" w:line="300"/>
      </w:pPr>
      <w:r>
        <w:rPr>
          <w:rFonts w:ascii="Arial" w:cs="Arial" w:eastAsia="Arial" w:hAnsi="Arial"/>
          <w:sz w:val="16"/>
          <w:szCs w:val="16"/>
        </w:rPr>
        <w:t xml:space="preserve"> </w:t>
      </w:r>
    </w:p>
    <w:p>
      <w:pPr>
        <w:pBdr>
          <w:bottom w:val="single" w:color="DDD5C4" w:sz="4" w:space="8"/>
        </w:pBdr>
        <w:spacing w:after="60" w:before="120" w:line="300"/>
      </w:pPr>
      <w:r>
        <w:rPr>
          <w:rFonts w:ascii="Arial" w:cs="Arial" w:eastAsia="Arial" w:hAnsi="Arial"/>
          <w:sz w:val="16"/>
          <w:szCs w:val="16"/>
        </w:rPr>
        <w:t xml:space="preserve"> </w:t>
      </w:r>
    </w:p>
    <w:p>
      <w:pPr>
        <w:pBdr>
          <w:top w:val="single" w:color="DDD5C4" w:sz="4" w:space="8"/>
        </w:pBdr>
        <w:spacing w:after="0" w:before="480"/>
      </w:pPr>
      <w:r>
        <w:rPr>
          <w:rFonts w:ascii="Arial" w:cs="Arial" w:eastAsia="Arial" w:hAnsi="Arial"/>
          <w:i/>
          <w:iCs/>
          <w:color w:val="6B6B66"/>
          <w:sz w:val="14"/>
          <w:szCs w:val="14"/>
        </w:rPr>
        <w:t xml:space="preserve">This is the self-serve register of The Bouddi Framing Brief. The engaged register — delivered inside the Bouddi Method as part of the Diagnostic + Roadmap — cross-walks each priority and exposure to ISO/IEC 42001 obligations, APRA expectations, and the D1–D6 maturity domains, ready for board approval and inclusion in the audit committee evidence pack.</w:t>
      </w:r>
    </w:p>
    <w:p>
      <w:pPr>
        <w:spacing w:after="0" w:before="120"/>
      </w:pPr>
      <w:r>
        <w:rPr>
          <w:rFonts w:ascii="Arial" w:cs="Arial" w:eastAsia="Arial" w:hAnsi="Arial"/>
          <w:color w:val="6B6B66"/>
          <w:sz w:val="14"/>
          <w:szCs w:val="14"/>
        </w:rPr>
        <w:t xml:space="preserve">© 2026 Bouddi Atelier · Sydney, NSW Australia · ABN 81 303 387 265 · michael@bouddiatelier.com.au</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A3A3A"/>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Bouddi Framing Brief</dc:title>
  <dc:creator>Bouddi Atelier</dc:creator>
  <dc:description>Self-serve template for board-ready synthesis of your AI framing work.</dc:description>
  <cp:lastModifiedBy>Un-named</cp:lastModifiedBy>
  <cp:revision>1</cp:revision>
  <dcterms:created xsi:type="dcterms:W3CDTF">2026-05-09T01:56:06.401Z</dcterms:created>
  <dcterms:modified xsi:type="dcterms:W3CDTF">2026-05-09T01:56:06.402Z</dcterms:modified>
</cp:coreProperties>
</file>

<file path=docProps/custom.xml><?xml version="1.0" encoding="utf-8"?>
<Properties xmlns="http://schemas.openxmlformats.org/officeDocument/2006/custom-properties" xmlns:vt="http://schemas.openxmlformats.org/officeDocument/2006/docPropsVTypes"/>
</file>